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850" w:right="2653"/>
        <w:jc w:val="center"/>
      </w:pPr>
      <w:r>
        <w:rPr/>
        <w:t>MODEL CRIMINAL HISTORY BACKGROUND POLICY</w:t>
      </w:r>
    </w:p>
    <w:p>
      <w:pPr>
        <w:pStyle w:val="BodyText"/>
        <w:spacing w:before="11"/>
        <w:ind w:left="0"/>
        <w:rPr>
          <w:b/>
          <w:sz w:val="21"/>
        </w:rPr>
      </w:pPr>
    </w:p>
    <w:p>
      <w:pPr>
        <w:spacing w:before="52"/>
        <w:ind w:left="100" w:right="0" w:firstLine="0"/>
        <w:jc w:val="left"/>
        <w:rPr>
          <w:b/>
          <w:sz w:val="24"/>
        </w:rPr>
      </w:pPr>
      <w:r>
        <w:rPr>
          <w:b/>
          <w:sz w:val="24"/>
        </w:rPr>
        <w:t>Overview</w:t>
      </w:r>
    </w:p>
    <w:p>
      <w:pPr>
        <w:pStyle w:val="BodyText"/>
        <w:spacing w:before="163"/>
        <w:ind w:right="420"/>
      </w:pPr>
      <w:r>
        <w:rPr/>
        <w:t>The property is committed to upholding fair housing principles and ensuring equal access to its property regardless of applicants’ backgrounds. In determining whether to approve an applicant to live in the community, the property will conduct the following three-step process:</w:t>
      </w:r>
    </w:p>
    <w:p>
      <w:pPr>
        <w:pStyle w:val="ListParagraph"/>
        <w:numPr>
          <w:ilvl w:val="0"/>
          <w:numId w:val="1"/>
        </w:numPr>
        <w:tabs>
          <w:tab w:pos="1181" w:val="left" w:leader="none"/>
        </w:tabs>
        <w:spacing w:line="240" w:lineRule="auto" w:before="158" w:after="0"/>
        <w:ind w:left="1180" w:right="0" w:hanging="361"/>
        <w:jc w:val="left"/>
        <w:rPr>
          <w:sz w:val="24"/>
        </w:rPr>
      </w:pPr>
      <w:r>
        <w:rPr>
          <w:sz w:val="24"/>
        </w:rPr>
        <w:t>Income and Credit</w:t>
      </w:r>
      <w:r>
        <w:rPr>
          <w:spacing w:val="-2"/>
          <w:sz w:val="24"/>
        </w:rPr>
        <w:t> </w:t>
      </w:r>
      <w:r>
        <w:rPr>
          <w:sz w:val="24"/>
        </w:rPr>
        <w:t>Screening;</w:t>
      </w:r>
    </w:p>
    <w:p>
      <w:pPr>
        <w:pStyle w:val="ListParagraph"/>
        <w:numPr>
          <w:ilvl w:val="0"/>
          <w:numId w:val="1"/>
        </w:numPr>
        <w:tabs>
          <w:tab w:pos="1181" w:val="left" w:leader="none"/>
        </w:tabs>
        <w:spacing w:line="240" w:lineRule="auto" w:before="0" w:after="0"/>
        <w:ind w:left="1180" w:right="0" w:hanging="361"/>
        <w:jc w:val="left"/>
        <w:rPr>
          <w:sz w:val="24"/>
        </w:rPr>
      </w:pPr>
      <w:r>
        <w:rPr>
          <w:sz w:val="24"/>
        </w:rPr>
        <w:t>Limited Criminal Background Screening;</w:t>
      </w:r>
      <w:r>
        <w:rPr>
          <w:spacing w:val="-4"/>
          <w:sz w:val="24"/>
        </w:rPr>
        <w:t> </w:t>
      </w:r>
      <w:r>
        <w:rPr>
          <w:sz w:val="24"/>
        </w:rPr>
        <w:t>and</w:t>
      </w:r>
    </w:p>
    <w:p>
      <w:pPr>
        <w:pStyle w:val="ListParagraph"/>
        <w:numPr>
          <w:ilvl w:val="0"/>
          <w:numId w:val="1"/>
        </w:numPr>
        <w:tabs>
          <w:tab w:pos="1181" w:val="left" w:leader="none"/>
        </w:tabs>
        <w:spacing w:line="240" w:lineRule="auto" w:before="2" w:after="0"/>
        <w:ind w:left="1180" w:right="0" w:hanging="361"/>
        <w:jc w:val="left"/>
        <w:rPr>
          <w:sz w:val="24"/>
        </w:rPr>
      </w:pPr>
      <w:r>
        <w:rPr>
          <w:sz w:val="24"/>
        </w:rPr>
        <w:t>Individual</w:t>
      </w:r>
      <w:r>
        <w:rPr>
          <w:spacing w:val="-2"/>
          <w:sz w:val="24"/>
        </w:rPr>
        <w:t> </w:t>
      </w:r>
      <w:r>
        <w:rPr>
          <w:sz w:val="24"/>
        </w:rPr>
        <w:t>Assessment.</w:t>
      </w:r>
    </w:p>
    <w:p>
      <w:pPr>
        <w:pStyle w:val="BodyText"/>
        <w:spacing w:before="158"/>
      </w:pPr>
      <w:r>
        <w:rPr/>
        <w:t>Each step is described in detail below.</w:t>
      </w:r>
    </w:p>
    <w:p>
      <w:pPr>
        <w:pStyle w:val="Heading1"/>
        <w:spacing w:before="159"/>
      </w:pPr>
      <w:r>
        <w:rPr/>
        <w:t>Step One: Income and Credit Screening</w:t>
      </w:r>
    </w:p>
    <w:p>
      <w:pPr>
        <w:pStyle w:val="BodyText"/>
        <w:spacing w:before="160"/>
      </w:pPr>
      <w:r>
        <w:rPr/>
        <w:t>First, the property will review an applicant’s income and conduct a credit screening. If an applicant meets the property’s income and credit criteria, the property will provide an applicant with a conditional offer of tenancy. The form of this letter (the “Conditional Offer Letter”) is attached as Appendix A.</w:t>
      </w:r>
    </w:p>
    <w:p>
      <w:pPr>
        <w:pStyle w:val="Heading1"/>
        <w:spacing w:before="161"/>
      </w:pPr>
      <w:r>
        <w:rPr/>
        <w:t>Step Two: Limited Criminal Background Screening</w:t>
      </w:r>
    </w:p>
    <w:p>
      <w:pPr>
        <w:pStyle w:val="BodyText"/>
        <w:spacing w:before="158"/>
      </w:pPr>
      <w:r>
        <w:rPr/>
        <w:t>Second, if the applicant has met the property’s income and credit criteria and received a conditional offer, the property will conduct a </w:t>
      </w:r>
      <w:r>
        <w:rPr>
          <w:u w:val="single"/>
        </w:rPr>
        <w:t>limited </w:t>
      </w:r>
      <w:r>
        <w:rPr/>
        <w:t>criminal background screening for all individuals age 18 and older who will reside in the apartment.</w:t>
      </w:r>
    </w:p>
    <w:p>
      <w:pPr>
        <w:pStyle w:val="BodyText"/>
        <w:spacing w:before="161"/>
      </w:pPr>
      <w:r>
        <w:rPr/>
        <w:t>The limited criminal background screening will only consider:</w:t>
      </w:r>
    </w:p>
    <w:p>
      <w:pPr>
        <w:pStyle w:val="ListParagraph"/>
        <w:numPr>
          <w:ilvl w:val="0"/>
          <w:numId w:val="2"/>
        </w:numPr>
        <w:tabs>
          <w:tab w:pos="1180" w:val="left" w:leader="none"/>
          <w:tab w:pos="1181" w:val="left" w:leader="none"/>
        </w:tabs>
        <w:spacing w:line="225" w:lineRule="auto" w:before="173" w:after="0"/>
        <w:ind w:left="1180" w:right="531" w:hanging="361"/>
        <w:jc w:val="left"/>
        <w:rPr>
          <w:sz w:val="24"/>
        </w:rPr>
      </w:pPr>
      <w:r>
        <w:rPr>
          <w:sz w:val="24"/>
        </w:rPr>
        <w:t>Felony criminal convictions related to the following categories of offenses: (1) property offenses,</w:t>
      </w:r>
      <w:r>
        <w:rPr>
          <w:sz w:val="24"/>
          <w:vertAlign w:val="superscript"/>
        </w:rPr>
        <w:t>1</w:t>
      </w:r>
      <w:r>
        <w:rPr>
          <w:sz w:val="24"/>
          <w:vertAlign w:val="baseline"/>
        </w:rPr>
        <w:t> (2) major drug offenses,</w:t>
      </w:r>
      <w:r>
        <w:rPr>
          <w:sz w:val="24"/>
          <w:vertAlign w:val="superscript"/>
        </w:rPr>
        <w:t>2</w:t>
      </w:r>
      <w:r>
        <w:rPr>
          <w:sz w:val="24"/>
          <w:vertAlign w:val="baseline"/>
        </w:rPr>
        <w:t> (3) fraud offenses,</w:t>
      </w:r>
      <w:r>
        <w:rPr>
          <w:sz w:val="24"/>
          <w:vertAlign w:val="superscript"/>
        </w:rPr>
        <w:t>3</w:t>
      </w:r>
      <w:r>
        <w:rPr>
          <w:sz w:val="24"/>
          <w:vertAlign w:val="baseline"/>
        </w:rPr>
        <w:t> (4) major violent offenses against persons,</w:t>
      </w:r>
      <w:r>
        <w:rPr>
          <w:sz w:val="24"/>
          <w:vertAlign w:val="superscript"/>
        </w:rPr>
        <w:t>4</w:t>
      </w:r>
      <w:r>
        <w:rPr>
          <w:spacing w:val="-2"/>
          <w:sz w:val="24"/>
          <w:vertAlign w:val="baseline"/>
        </w:rPr>
        <w:t> </w:t>
      </w:r>
      <w:r>
        <w:rPr>
          <w:sz w:val="24"/>
          <w:vertAlign w:val="baseline"/>
        </w:rPr>
        <w:t>and</w:t>
      </w:r>
      <w:r>
        <w:rPr>
          <w:spacing w:val="-3"/>
          <w:sz w:val="24"/>
          <w:vertAlign w:val="baseline"/>
        </w:rPr>
        <w:t> </w:t>
      </w:r>
      <w:r>
        <w:rPr>
          <w:sz w:val="24"/>
          <w:vertAlign w:val="baseline"/>
        </w:rPr>
        <w:t>(5)</w:t>
      </w:r>
      <w:r>
        <w:rPr>
          <w:spacing w:val="-3"/>
          <w:sz w:val="24"/>
          <w:vertAlign w:val="baseline"/>
        </w:rPr>
        <w:t> </w:t>
      </w:r>
      <w:r>
        <w:rPr>
          <w:sz w:val="24"/>
          <w:vertAlign w:val="baseline"/>
        </w:rPr>
        <w:t>sex</w:t>
      </w:r>
      <w:r>
        <w:rPr>
          <w:spacing w:val="-3"/>
          <w:sz w:val="24"/>
          <w:vertAlign w:val="baseline"/>
        </w:rPr>
        <w:t> </w:t>
      </w:r>
      <w:r>
        <w:rPr>
          <w:sz w:val="24"/>
          <w:vertAlign w:val="baseline"/>
        </w:rPr>
        <w:t>offenses</w:t>
      </w:r>
      <w:r>
        <w:rPr>
          <w:sz w:val="24"/>
          <w:vertAlign w:val="superscript"/>
        </w:rPr>
        <w:t>5</w:t>
      </w:r>
      <w:r>
        <w:rPr>
          <w:sz w:val="24"/>
          <w:vertAlign w:val="baseline"/>
        </w:rPr>
        <w:t>.</w:t>
      </w:r>
      <w:r>
        <w:rPr>
          <w:spacing w:val="-2"/>
          <w:sz w:val="24"/>
          <w:vertAlign w:val="baseline"/>
        </w:rPr>
        <w:t> </w:t>
      </w:r>
      <w:r>
        <w:rPr>
          <w:sz w:val="24"/>
          <w:vertAlign w:val="baseline"/>
        </w:rPr>
        <w:t>Any</w:t>
      </w:r>
      <w:r>
        <w:rPr>
          <w:spacing w:val="-2"/>
          <w:sz w:val="24"/>
          <w:vertAlign w:val="baseline"/>
        </w:rPr>
        <w:t> </w:t>
      </w:r>
      <w:r>
        <w:rPr>
          <w:sz w:val="24"/>
          <w:vertAlign w:val="baseline"/>
        </w:rPr>
        <w:t>other</w:t>
      </w:r>
      <w:r>
        <w:rPr>
          <w:spacing w:val="-3"/>
          <w:sz w:val="24"/>
          <w:vertAlign w:val="baseline"/>
        </w:rPr>
        <w:t> </w:t>
      </w:r>
      <w:r>
        <w:rPr>
          <w:sz w:val="24"/>
          <w:vertAlign w:val="baseline"/>
        </w:rPr>
        <w:t>category</w:t>
      </w:r>
      <w:r>
        <w:rPr>
          <w:spacing w:val="-3"/>
          <w:sz w:val="24"/>
          <w:vertAlign w:val="baseline"/>
        </w:rPr>
        <w:t> </w:t>
      </w:r>
      <w:r>
        <w:rPr>
          <w:sz w:val="24"/>
          <w:vertAlign w:val="baseline"/>
        </w:rPr>
        <w:t>of</w:t>
      </w:r>
      <w:r>
        <w:rPr>
          <w:spacing w:val="-3"/>
          <w:sz w:val="24"/>
          <w:vertAlign w:val="baseline"/>
        </w:rPr>
        <w:t> </w:t>
      </w:r>
      <w:r>
        <w:rPr>
          <w:sz w:val="24"/>
          <w:vertAlign w:val="baseline"/>
        </w:rPr>
        <w:t>offense</w:t>
      </w:r>
      <w:r>
        <w:rPr>
          <w:spacing w:val="-4"/>
          <w:sz w:val="24"/>
          <w:vertAlign w:val="baseline"/>
        </w:rPr>
        <w:t> </w:t>
      </w:r>
      <w:r>
        <w:rPr>
          <w:sz w:val="24"/>
          <w:vertAlign w:val="baseline"/>
        </w:rPr>
        <w:t>will</w:t>
      </w:r>
      <w:r>
        <w:rPr>
          <w:spacing w:val="-4"/>
          <w:sz w:val="24"/>
          <w:vertAlign w:val="baseline"/>
        </w:rPr>
        <w:t> </w:t>
      </w:r>
      <w:r>
        <w:rPr>
          <w:sz w:val="24"/>
          <w:vertAlign w:val="baseline"/>
        </w:rPr>
        <w:t>not</w:t>
      </w:r>
      <w:r>
        <w:rPr>
          <w:spacing w:val="-4"/>
          <w:sz w:val="24"/>
          <w:vertAlign w:val="baseline"/>
        </w:rPr>
        <w:t> </w:t>
      </w:r>
      <w:r>
        <w:rPr>
          <w:sz w:val="24"/>
          <w:vertAlign w:val="baseline"/>
        </w:rPr>
        <w:t>be</w:t>
      </w:r>
      <w:r>
        <w:rPr>
          <w:spacing w:val="-6"/>
          <w:sz w:val="24"/>
          <w:vertAlign w:val="baseline"/>
        </w:rPr>
        <w:t> </w:t>
      </w:r>
      <w:r>
        <w:rPr>
          <w:sz w:val="24"/>
          <w:vertAlign w:val="baseline"/>
        </w:rPr>
        <w:t>considered.</w:t>
      </w:r>
    </w:p>
    <w:p>
      <w:pPr>
        <w:pStyle w:val="BodyText"/>
        <w:ind w:left="1180" w:right="209"/>
      </w:pPr>
      <w:r>
        <w:rPr/>
        <w:t>These categories were identified because they involve conduct by a person whose tenancy may present a current direct threat of harm to others or the risk of substantial damage to the property of others.</w:t>
      </w:r>
    </w:p>
    <w:p>
      <w:pPr>
        <w:pStyle w:val="BodyText"/>
        <w:spacing w:before="3"/>
        <w:ind w:left="0"/>
        <w:rPr>
          <w:sz w:val="27"/>
        </w:rPr>
      </w:pPr>
    </w:p>
    <w:p>
      <w:pPr>
        <w:pStyle w:val="ListParagraph"/>
        <w:numPr>
          <w:ilvl w:val="0"/>
          <w:numId w:val="2"/>
        </w:numPr>
        <w:tabs>
          <w:tab w:pos="1180" w:val="left" w:leader="none"/>
          <w:tab w:pos="1181" w:val="left" w:leader="none"/>
        </w:tabs>
        <w:spacing w:line="240" w:lineRule="auto" w:before="0" w:after="0"/>
        <w:ind w:left="1180" w:right="795" w:hanging="361"/>
        <w:jc w:val="left"/>
        <w:rPr>
          <w:sz w:val="24"/>
        </w:rPr>
      </w:pPr>
      <w:r>
        <w:rPr>
          <w:sz w:val="24"/>
        </w:rPr>
        <w:t>Felony</w:t>
      </w:r>
      <w:r>
        <w:rPr>
          <w:spacing w:val="-6"/>
          <w:sz w:val="24"/>
        </w:rPr>
        <w:t> </w:t>
      </w:r>
      <w:r>
        <w:rPr>
          <w:sz w:val="24"/>
        </w:rPr>
        <w:t>criminal</w:t>
      </w:r>
      <w:r>
        <w:rPr>
          <w:spacing w:val="-5"/>
          <w:sz w:val="24"/>
        </w:rPr>
        <w:t> </w:t>
      </w:r>
      <w:r>
        <w:rPr>
          <w:sz w:val="24"/>
        </w:rPr>
        <w:t>convictions</w:t>
      </w:r>
      <w:r>
        <w:rPr>
          <w:spacing w:val="-5"/>
          <w:sz w:val="24"/>
        </w:rPr>
        <w:t> </w:t>
      </w:r>
      <w:r>
        <w:rPr>
          <w:sz w:val="24"/>
        </w:rPr>
        <w:t>in</w:t>
      </w:r>
      <w:r>
        <w:rPr>
          <w:spacing w:val="-6"/>
          <w:sz w:val="24"/>
        </w:rPr>
        <w:t> </w:t>
      </w:r>
      <w:r>
        <w:rPr>
          <w:sz w:val="24"/>
        </w:rPr>
        <w:t>the</w:t>
      </w:r>
      <w:r>
        <w:rPr>
          <w:spacing w:val="-4"/>
          <w:sz w:val="24"/>
        </w:rPr>
        <w:t> </w:t>
      </w:r>
      <w:r>
        <w:rPr>
          <w:sz w:val="24"/>
        </w:rPr>
        <w:t>above</w:t>
      </w:r>
      <w:r>
        <w:rPr>
          <w:spacing w:val="-6"/>
          <w:sz w:val="24"/>
        </w:rPr>
        <w:t> </w:t>
      </w:r>
      <w:r>
        <w:rPr>
          <w:sz w:val="24"/>
        </w:rPr>
        <w:t>listed</w:t>
      </w:r>
      <w:r>
        <w:rPr>
          <w:spacing w:val="-6"/>
          <w:sz w:val="24"/>
        </w:rPr>
        <w:t> </w:t>
      </w:r>
      <w:r>
        <w:rPr>
          <w:sz w:val="24"/>
        </w:rPr>
        <w:t>categories</w:t>
      </w:r>
      <w:r>
        <w:rPr>
          <w:spacing w:val="-7"/>
          <w:sz w:val="24"/>
        </w:rPr>
        <w:t> </w:t>
      </w:r>
      <w:r>
        <w:rPr>
          <w:sz w:val="24"/>
        </w:rPr>
        <w:t>where</w:t>
      </w:r>
      <w:r>
        <w:rPr>
          <w:spacing w:val="-5"/>
          <w:sz w:val="24"/>
        </w:rPr>
        <w:t> </w:t>
      </w:r>
      <w:r>
        <w:rPr>
          <w:sz w:val="24"/>
        </w:rPr>
        <w:t>the</w:t>
      </w:r>
      <w:r>
        <w:rPr>
          <w:spacing w:val="-4"/>
          <w:sz w:val="24"/>
        </w:rPr>
        <w:t> </w:t>
      </w:r>
      <w:r>
        <w:rPr>
          <w:sz w:val="24"/>
        </w:rPr>
        <w:t>conviction</w:t>
      </w:r>
      <w:r>
        <w:rPr>
          <w:spacing w:val="-5"/>
          <w:sz w:val="24"/>
        </w:rPr>
        <w:t> </w:t>
      </w:r>
      <w:r>
        <w:rPr>
          <w:sz w:val="24"/>
        </w:rPr>
        <w:t>occurred within the last five</w:t>
      </w:r>
      <w:r>
        <w:rPr>
          <w:spacing w:val="1"/>
          <w:sz w:val="24"/>
        </w:rPr>
        <w:t> </w:t>
      </w:r>
      <w:r>
        <w:rPr>
          <w:sz w:val="24"/>
        </w:rPr>
        <w:t>years.</w:t>
      </w:r>
    </w:p>
    <w:p>
      <w:pPr>
        <w:pStyle w:val="BodyText"/>
        <w:ind w:left="0"/>
        <w:rPr>
          <w:sz w:val="20"/>
        </w:rPr>
      </w:pPr>
    </w:p>
    <w:p>
      <w:pPr>
        <w:pStyle w:val="BodyText"/>
        <w:spacing w:before="7"/>
        <w:ind w:left="0"/>
        <w:rPr>
          <w:sz w:val="25"/>
        </w:rPr>
      </w:pPr>
      <w:r>
        <w:rPr/>
        <w:pict>
          <v:shape style="position:absolute;margin-left:42.25pt;margin-top:18.050819pt;width:144pt;height:.1pt;mso-position-horizontal-relative:page;mso-position-vertical-relative:paragraph;z-index:-251658240;mso-wrap-distance-left:0;mso-wrap-distance-right:0" coordorigin="845,361" coordsize="2880,0" path="m845,361l3725,361e" filled="false" stroked="true" strokeweight=".82pt" strokecolor="#000000">
            <v:path arrowok="t"/>
            <v:stroke dashstyle="solid"/>
            <w10:wrap type="topAndBottom"/>
          </v:shape>
        </w:pict>
      </w:r>
    </w:p>
    <w:p>
      <w:pPr>
        <w:pStyle w:val="BodyText"/>
        <w:spacing w:line="225" w:lineRule="auto" w:before="79"/>
        <w:ind w:right="209"/>
      </w:pPr>
      <w:r>
        <w:rPr>
          <w:position w:val="9"/>
          <w:sz w:val="16"/>
        </w:rPr>
        <w:t>1 </w:t>
      </w:r>
      <w:r>
        <w:rPr/>
        <w:t>Property offenses include theft, burglary, vandalism, arson and other criminal damage to property.</w:t>
      </w:r>
      <w:r>
        <w:rPr>
          <w:position w:val="9"/>
        </w:rPr>
        <w:t> </w:t>
      </w:r>
      <w:r>
        <w:rPr>
          <w:position w:val="9"/>
          <w:sz w:val="16"/>
        </w:rPr>
        <w:t>2</w:t>
      </w:r>
      <w:r>
        <w:rPr>
          <w:spacing w:val="11"/>
          <w:position w:val="9"/>
          <w:sz w:val="16"/>
        </w:rPr>
        <w:t> </w:t>
      </w:r>
      <w:r>
        <w:rPr/>
        <w:t>Major</w:t>
      </w:r>
      <w:r>
        <w:rPr>
          <w:spacing w:val="-9"/>
        </w:rPr>
        <w:t> </w:t>
      </w:r>
      <w:r>
        <w:rPr/>
        <w:t>drug</w:t>
      </w:r>
      <w:r>
        <w:rPr>
          <w:spacing w:val="-8"/>
        </w:rPr>
        <w:t> </w:t>
      </w:r>
      <w:r>
        <w:rPr/>
        <w:t>offenses</w:t>
      </w:r>
      <w:r>
        <w:rPr>
          <w:spacing w:val="-8"/>
        </w:rPr>
        <w:t> </w:t>
      </w:r>
      <w:r>
        <w:rPr/>
        <w:t>include</w:t>
      </w:r>
      <w:r>
        <w:rPr>
          <w:spacing w:val="-10"/>
        </w:rPr>
        <w:t> </w:t>
      </w:r>
      <w:r>
        <w:rPr/>
        <w:t>drug</w:t>
      </w:r>
      <w:r>
        <w:rPr>
          <w:spacing w:val="-11"/>
        </w:rPr>
        <w:t> </w:t>
      </w:r>
      <w:r>
        <w:rPr/>
        <w:t>trafficking</w:t>
      </w:r>
      <w:r>
        <w:rPr>
          <w:spacing w:val="-8"/>
        </w:rPr>
        <w:t> </w:t>
      </w:r>
      <w:r>
        <w:rPr/>
        <w:t>and</w:t>
      </w:r>
      <w:r>
        <w:rPr>
          <w:spacing w:val="-9"/>
        </w:rPr>
        <w:t> </w:t>
      </w:r>
      <w:r>
        <w:rPr/>
        <w:t>the</w:t>
      </w:r>
      <w:r>
        <w:rPr>
          <w:spacing w:val="-10"/>
        </w:rPr>
        <w:t> </w:t>
      </w:r>
      <w:r>
        <w:rPr/>
        <w:t>sale,</w:t>
      </w:r>
      <w:r>
        <w:rPr>
          <w:spacing w:val="-8"/>
        </w:rPr>
        <w:t> </w:t>
      </w:r>
      <w:r>
        <w:rPr/>
        <w:t>smuggling,</w:t>
      </w:r>
      <w:r>
        <w:rPr>
          <w:spacing w:val="-6"/>
        </w:rPr>
        <w:t> </w:t>
      </w:r>
      <w:r>
        <w:rPr/>
        <w:t>manufacture,</w:t>
      </w:r>
      <w:r>
        <w:rPr>
          <w:spacing w:val="-8"/>
        </w:rPr>
        <w:t> </w:t>
      </w:r>
      <w:r>
        <w:rPr/>
        <w:t>or</w:t>
      </w:r>
      <w:r>
        <w:rPr>
          <w:spacing w:val="42"/>
        </w:rPr>
        <w:t> </w:t>
      </w:r>
      <w:r>
        <w:rPr/>
        <w:t>distribution</w:t>
      </w:r>
      <w:r>
        <w:rPr>
          <w:spacing w:val="-8"/>
        </w:rPr>
        <w:t> </w:t>
      </w:r>
      <w:r>
        <w:rPr/>
        <w:t>of any controlled substance. This includes unspecified controlled substances. It also includes all 1st or 2nd degree controlled substance offenses. Major drug offenses do not include simple possession of a controlled substance or drug paraphernalia, nor any past conduct that has since been decriminalized. </w:t>
      </w:r>
      <w:r>
        <w:rPr>
          <w:position w:val="9"/>
          <w:sz w:val="16"/>
        </w:rPr>
        <w:t>3 </w:t>
      </w:r>
      <w:r>
        <w:rPr/>
        <w:t>Fraud offenses include identify theft, use of stolen checks, writing bad checks, counterfeiting, and forgery.</w:t>
      </w:r>
    </w:p>
    <w:p>
      <w:pPr>
        <w:pStyle w:val="BodyText"/>
        <w:spacing w:line="255" w:lineRule="exact"/>
      </w:pPr>
      <w:r>
        <w:rPr>
          <w:position w:val="9"/>
          <w:sz w:val="16"/>
        </w:rPr>
        <w:t>4 </w:t>
      </w:r>
      <w:r>
        <w:rPr/>
        <w:t>Major violent offenses include assault, battery, and homicide.</w:t>
      </w:r>
    </w:p>
    <w:p>
      <w:pPr>
        <w:pStyle w:val="BodyText"/>
        <w:ind w:right="255"/>
      </w:pPr>
      <w:r>
        <w:rPr>
          <w:position w:val="9"/>
          <w:sz w:val="16"/>
        </w:rPr>
        <w:t>5 </w:t>
      </w:r>
      <w:r>
        <w:rPr/>
        <w:t>Sex offenses include rape, registration as a sexual offender, taking indecent liberties with a minor, pandering, sex trafficking, and sexual battery. Not included are victimless crimes such as prostitution or solicitation.</w:t>
      </w:r>
    </w:p>
    <w:p>
      <w:pPr>
        <w:spacing w:after="0"/>
        <w:sectPr>
          <w:footerReference w:type="default" r:id="rId5"/>
          <w:type w:val="continuous"/>
          <w:pgSz w:w="12240" w:h="15840"/>
          <w:pgMar w:footer="1012" w:top="700" w:bottom="1200" w:left="380" w:right="1320"/>
          <w:pgNumType w:start="1"/>
        </w:sectPr>
      </w:pPr>
    </w:p>
    <w:p>
      <w:pPr>
        <w:pStyle w:val="BodyText"/>
        <w:spacing w:before="40"/>
      </w:pPr>
      <w:r>
        <w:rPr/>
        <w:t>The property’s limited criminal background screening will </w:t>
      </w:r>
      <w:r>
        <w:rPr>
          <w:u w:val="single"/>
        </w:rPr>
        <w:t>not </w:t>
      </w:r>
      <w:r>
        <w:rPr/>
        <w:t>consider arrests, charges, expunged convictions, convictions reversed on appeal, vacated convictions, offenses where adjudication was withheld or deferred, pardoned convictions, and sealed juvenile records. It will not treat people differently based on whether the applicant is on probation or parole.</w:t>
      </w:r>
    </w:p>
    <w:p>
      <w:pPr>
        <w:pStyle w:val="Heading1"/>
        <w:spacing w:before="158"/>
      </w:pPr>
      <w:r>
        <w:rPr/>
        <w:t>Step Three: Individual Assessment</w:t>
      </w:r>
    </w:p>
    <w:p>
      <w:pPr>
        <w:pStyle w:val="BodyText"/>
        <w:spacing w:before="161"/>
        <w:ind w:right="209"/>
      </w:pPr>
      <w:r>
        <w:rPr/>
        <w:t>Third, if an applicant is identified as having a felony criminal conviction in one of the specified categories of offenses within the five years prior to the application (“covered criminal conduct”), the property will provide an individual assessment of the applicant’s current situation before deciding whether to withdraw the conditional offer. The purpose of the assessment is to determine whether the applicant is able to fulfill the obligations of tenancy at the property.</w:t>
      </w:r>
    </w:p>
    <w:p>
      <w:pPr>
        <w:pStyle w:val="BodyText"/>
        <w:spacing w:before="157"/>
      </w:pPr>
      <w:r>
        <w:rPr/>
        <w:t>The property will first send a written notice to each applicant identified as having covered criminal conduct that includes specific information from the background check that creates a concern. The notice will inform the applicant that covered criminal conduct was identified in the limited criminal background screening and will invite the applicant to provide additional information within fourteen</w:t>
      </w:r>
    </w:p>
    <w:p>
      <w:pPr>
        <w:pStyle w:val="ListParagraph"/>
        <w:numPr>
          <w:ilvl w:val="0"/>
          <w:numId w:val="3"/>
        </w:numPr>
        <w:tabs>
          <w:tab w:pos="904" w:val="left" w:leader="none"/>
        </w:tabs>
        <w:spacing w:line="240" w:lineRule="auto" w:before="3" w:after="0"/>
        <w:ind w:left="460" w:right="295" w:firstLine="0"/>
        <w:jc w:val="left"/>
        <w:rPr>
          <w:sz w:val="24"/>
        </w:rPr>
      </w:pPr>
      <w:r>
        <w:rPr>
          <w:spacing w:val="-3"/>
          <w:sz w:val="24"/>
        </w:rPr>
        <w:t>days </w:t>
      </w:r>
      <w:r>
        <w:rPr>
          <w:sz w:val="24"/>
        </w:rPr>
        <w:t>for the property to consider. The requested information could include, for example, letters from parole officers, case workers, counselors, family members, or community organizations commenting on the applicant’s responsible conduct and rehabilitation efforts. The form of this request letter (the “Additional Information Request Letter”) is attached as Appendix</w:t>
      </w:r>
      <w:r>
        <w:rPr>
          <w:spacing w:val="-25"/>
          <w:sz w:val="24"/>
        </w:rPr>
        <w:t> </w:t>
      </w:r>
      <w:r>
        <w:rPr>
          <w:sz w:val="24"/>
        </w:rPr>
        <w:t>B.</w:t>
      </w:r>
    </w:p>
    <w:p>
      <w:pPr>
        <w:pStyle w:val="BodyText"/>
        <w:spacing w:before="160"/>
      </w:pPr>
      <w:r>
        <w:rPr/>
        <w:t>Based on information received from the applicant, as well as the information provided by the</w:t>
      </w:r>
    </w:p>
    <w:p>
      <w:pPr>
        <w:pStyle w:val="BodyText"/>
      </w:pPr>
      <w:r>
        <w:rPr/>
        <w:t>property’s criminal background screening provider, the property will then conduct an individual assessment of each applicant identified as having covered criminal conduct. The property will consider all applicants equally and render decisions in a fair and consistent manner. The property will consider the following factors in determining whether to approve or reject the application:</w:t>
      </w:r>
    </w:p>
    <w:p>
      <w:pPr>
        <w:pStyle w:val="ListParagraph"/>
        <w:numPr>
          <w:ilvl w:val="1"/>
          <w:numId w:val="3"/>
        </w:numPr>
        <w:tabs>
          <w:tab w:pos="1180" w:val="left" w:leader="none"/>
          <w:tab w:pos="1181" w:val="left" w:leader="none"/>
        </w:tabs>
        <w:spacing w:line="299" w:lineRule="exact" w:before="155" w:after="0"/>
        <w:ind w:left="1180" w:right="0" w:hanging="361"/>
        <w:jc w:val="left"/>
        <w:rPr>
          <w:sz w:val="24"/>
        </w:rPr>
      </w:pPr>
      <w:r>
        <w:rPr>
          <w:sz w:val="24"/>
        </w:rPr>
        <w:t>the facts or circumstances surrounding the criminal</w:t>
      </w:r>
      <w:r>
        <w:rPr>
          <w:spacing w:val="-8"/>
          <w:sz w:val="24"/>
        </w:rPr>
        <w:t> </w:t>
      </w:r>
      <w:r>
        <w:rPr>
          <w:sz w:val="24"/>
        </w:rPr>
        <w:t>conduct;</w:t>
      </w:r>
    </w:p>
    <w:p>
      <w:pPr>
        <w:pStyle w:val="ListParagraph"/>
        <w:numPr>
          <w:ilvl w:val="1"/>
          <w:numId w:val="3"/>
        </w:numPr>
        <w:tabs>
          <w:tab w:pos="1180" w:val="left" w:leader="none"/>
          <w:tab w:pos="1181" w:val="left" w:leader="none"/>
        </w:tabs>
        <w:spacing w:line="295" w:lineRule="exact" w:before="0" w:after="0"/>
        <w:ind w:left="1180" w:right="0" w:hanging="361"/>
        <w:jc w:val="left"/>
        <w:rPr>
          <w:sz w:val="24"/>
        </w:rPr>
      </w:pPr>
      <w:r>
        <w:rPr>
          <w:sz w:val="24"/>
        </w:rPr>
        <w:t>the age of the applicant at the time of the occurrence of the criminal</w:t>
      </w:r>
      <w:r>
        <w:rPr>
          <w:spacing w:val="-26"/>
          <w:sz w:val="24"/>
        </w:rPr>
        <w:t> </w:t>
      </w:r>
      <w:r>
        <w:rPr>
          <w:sz w:val="24"/>
        </w:rPr>
        <w:t>offense;</w:t>
      </w:r>
    </w:p>
    <w:p>
      <w:pPr>
        <w:pStyle w:val="ListParagraph"/>
        <w:numPr>
          <w:ilvl w:val="1"/>
          <w:numId w:val="3"/>
        </w:numPr>
        <w:tabs>
          <w:tab w:pos="1180" w:val="left" w:leader="none"/>
          <w:tab w:pos="1181" w:val="left" w:leader="none"/>
        </w:tabs>
        <w:spacing w:line="240" w:lineRule="auto" w:before="0" w:after="0"/>
        <w:ind w:left="1180" w:right="1327" w:hanging="361"/>
        <w:jc w:val="left"/>
        <w:rPr>
          <w:sz w:val="24"/>
        </w:rPr>
      </w:pPr>
      <w:r>
        <w:rPr>
          <w:sz w:val="24"/>
        </w:rPr>
        <w:t>evidence</w:t>
      </w:r>
      <w:r>
        <w:rPr>
          <w:spacing w:val="-5"/>
          <w:sz w:val="24"/>
        </w:rPr>
        <w:t> </w:t>
      </w:r>
      <w:r>
        <w:rPr>
          <w:sz w:val="24"/>
        </w:rPr>
        <w:t>of</w:t>
      </w:r>
      <w:r>
        <w:rPr>
          <w:spacing w:val="-4"/>
          <w:sz w:val="24"/>
        </w:rPr>
        <w:t> </w:t>
      </w:r>
      <w:r>
        <w:rPr>
          <w:sz w:val="24"/>
        </w:rPr>
        <w:t>a</w:t>
      </w:r>
      <w:r>
        <w:rPr>
          <w:spacing w:val="-2"/>
          <w:sz w:val="24"/>
        </w:rPr>
        <w:t> </w:t>
      </w:r>
      <w:r>
        <w:rPr>
          <w:sz w:val="24"/>
        </w:rPr>
        <w:t>good</w:t>
      </w:r>
      <w:r>
        <w:rPr>
          <w:spacing w:val="-4"/>
          <w:sz w:val="24"/>
        </w:rPr>
        <w:t> </w:t>
      </w:r>
      <w:r>
        <w:rPr>
          <w:sz w:val="24"/>
        </w:rPr>
        <w:t>tenant</w:t>
      </w:r>
      <w:r>
        <w:rPr>
          <w:spacing w:val="-4"/>
          <w:sz w:val="24"/>
        </w:rPr>
        <w:t> </w:t>
      </w:r>
      <w:r>
        <w:rPr>
          <w:sz w:val="24"/>
        </w:rPr>
        <w:t>or</w:t>
      </w:r>
      <w:r>
        <w:rPr>
          <w:spacing w:val="-1"/>
          <w:sz w:val="24"/>
        </w:rPr>
        <w:t> </w:t>
      </w:r>
      <w:r>
        <w:rPr>
          <w:sz w:val="24"/>
        </w:rPr>
        <w:t>employment</w:t>
      </w:r>
      <w:r>
        <w:rPr>
          <w:spacing w:val="-4"/>
          <w:sz w:val="24"/>
        </w:rPr>
        <w:t> </w:t>
      </w:r>
      <w:r>
        <w:rPr>
          <w:sz w:val="24"/>
        </w:rPr>
        <w:t>history</w:t>
      </w:r>
      <w:r>
        <w:rPr>
          <w:spacing w:val="-3"/>
          <w:sz w:val="24"/>
        </w:rPr>
        <w:t> </w:t>
      </w:r>
      <w:r>
        <w:rPr>
          <w:sz w:val="24"/>
        </w:rPr>
        <w:t>before</w:t>
      </w:r>
      <w:r>
        <w:rPr>
          <w:spacing w:val="-4"/>
          <w:sz w:val="24"/>
        </w:rPr>
        <w:t> </w:t>
      </w:r>
      <w:r>
        <w:rPr>
          <w:sz w:val="24"/>
        </w:rPr>
        <w:t>or</w:t>
      </w:r>
      <w:r>
        <w:rPr>
          <w:spacing w:val="-2"/>
          <w:sz w:val="24"/>
        </w:rPr>
        <w:t> </w:t>
      </w:r>
      <w:r>
        <w:rPr>
          <w:sz w:val="24"/>
        </w:rPr>
        <w:t>after</w:t>
      </w:r>
      <w:r>
        <w:rPr>
          <w:spacing w:val="-3"/>
          <w:sz w:val="24"/>
        </w:rPr>
        <w:t> </w:t>
      </w:r>
      <w:r>
        <w:rPr>
          <w:sz w:val="24"/>
        </w:rPr>
        <w:t>the</w:t>
      </w:r>
      <w:r>
        <w:rPr>
          <w:spacing w:val="-2"/>
          <w:sz w:val="24"/>
        </w:rPr>
        <w:t> </w:t>
      </w:r>
      <w:r>
        <w:rPr>
          <w:sz w:val="24"/>
        </w:rPr>
        <w:t>conviction</w:t>
      </w:r>
      <w:r>
        <w:rPr>
          <w:spacing w:val="-3"/>
          <w:sz w:val="24"/>
        </w:rPr>
        <w:t> </w:t>
      </w:r>
      <w:r>
        <w:rPr>
          <w:sz w:val="24"/>
        </w:rPr>
        <w:t>or conduct;</w:t>
      </w:r>
    </w:p>
    <w:p>
      <w:pPr>
        <w:pStyle w:val="ListParagraph"/>
        <w:numPr>
          <w:ilvl w:val="1"/>
          <w:numId w:val="3"/>
        </w:numPr>
        <w:tabs>
          <w:tab w:pos="1180" w:val="left" w:leader="none"/>
          <w:tab w:pos="1181" w:val="left" w:leader="none"/>
        </w:tabs>
        <w:spacing w:line="293" w:lineRule="exact" w:before="0" w:after="0"/>
        <w:ind w:left="1180" w:right="0" w:hanging="361"/>
        <w:jc w:val="left"/>
        <w:rPr>
          <w:sz w:val="24"/>
        </w:rPr>
      </w:pPr>
      <w:r>
        <w:rPr>
          <w:sz w:val="24"/>
        </w:rPr>
        <w:t>evidence of rehabilitation</w:t>
      </w:r>
      <w:r>
        <w:rPr>
          <w:spacing w:val="-5"/>
          <w:sz w:val="24"/>
        </w:rPr>
        <w:t> </w:t>
      </w:r>
      <w:r>
        <w:rPr>
          <w:sz w:val="24"/>
        </w:rPr>
        <w:t>efforts;</w:t>
      </w:r>
    </w:p>
    <w:p>
      <w:pPr>
        <w:pStyle w:val="ListParagraph"/>
        <w:numPr>
          <w:ilvl w:val="1"/>
          <w:numId w:val="3"/>
        </w:numPr>
        <w:tabs>
          <w:tab w:pos="1180" w:val="left" w:leader="none"/>
          <w:tab w:pos="1181" w:val="left" w:leader="none"/>
        </w:tabs>
        <w:spacing w:line="296" w:lineRule="exact" w:before="0" w:after="0"/>
        <w:ind w:left="1180" w:right="0" w:hanging="361"/>
        <w:jc w:val="left"/>
        <w:rPr>
          <w:sz w:val="24"/>
        </w:rPr>
      </w:pPr>
      <w:r>
        <w:rPr>
          <w:sz w:val="24"/>
        </w:rPr>
        <w:t>the time that has elapsed since the occurrence of the</w:t>
      </w:r>
      <w:r>
        <w:rPr>
          <w:spacing w:val="-23"/>
          <w:sz w:val="24"/>
        </w:rPr>
        <w:t> </w:t>
      </w:r>
      <w:r>
        <w:rPr>
          <w:sz w:val="24"/>
        </w:rPr>
        <w:t>conduct;</w:t>
      </w:r>
    </w:p>
    <w:p>
      <w:pPr>
        <w:pStyle w:val="ListParagraph"/>
        <w:numPr>
          <w:ilvl w:val="1"/>
          <w:numId w:val="3"/>
        </w:numPr>
        <w:tabs>
          <w:tab w:pos="1180" w:val="left" w:leader="none"/>
          <w:tab w:pos="1181" w:val="left" w:leader="none"/>
        </w:tabs>
        <w:spacing w:line="240" w:lineRule="auto" w:before="0" w:after="0"/>
        <w:ind w:left="1180" w:right="1396" w:hanging="361"/>
        <w:jc w:val="left"/>
        <w:rPr>
          <w:sz w:val="24"/>
        </w:rPr>
      </w:pPr>
      <w:r>
        <w:rPr>
          <w:sz w:val="24"/>
        </w:rPr>
        <w:t>any</w:t>
      </w:r>
      <w:r>
        <w:rPr>
          <w:spacing w:val="-7"/>
          <w:sz w:val="24"/>
        </w:rPr>
        <w:t> </w:t>
      </w:r>
      <w:r>
        <w:rPr>
          <w:sz w:val="24"/>
        </w:rPr>
        <w:t>information</w:t>
      </w:r>
      <w:r>
        <w:rPr>
          <w:spacing w:val="-8"/>
          <w:sz w:val="24"/>
        </w:rPr>
        <w:t> </w:t>
      </w:r>
      <w:r>
        <w:rPr>
          <w:sz w:val="24"/>
        </w:rPr>
        <w:t>about</w:t>
      </w:r>
      <w:r>
        <w:rPr>
          <w:spacing w:val="-8"/>
          <w:sz w:val="24"/>
        </w:rPr>
        <w:t> </w:t>
      </w:r>
      <w:r>
        <w:rPr>
          <w:sz w:val="24"/>
        </w:rPr>
        <w:t>the</w:t>
      </w:r>
      <w:r>
        <w:rPr>
          <w:spacing w:val="-5"/>
          <w:sz w:val="24"/>
        </w:rPr>
        <w:t> </w:t>
      </w:r>
      <w:r>
        <w:rPr>
          <w:sz w:val="24"/>
        </w:rPr>
        <w:t>applicant</w:t>
      </w:r>
      <w:r>
        <w:rPr>
          <w:spacing w:val="-9"/>
          <w:sz w:val="24"/>
        </w:rPr>
        <w:t> </w:t>
      </w:r>
      <w:r>
        <w:rPr>
          <w:sz w:val="24"/>
        </w:rPr>
        <w:t>that</w:t>
      </w:r>
      <w:r>
        <w:rPr>
          <w:spacing w:val="-9"/>
          <w:sz w:val="24"/>
        </w:rPr>
        <w:t> </w:t>
      </w:r>
      <w:r>
        <w:rPr>
          <w:sz w:val="24"/>
        </w:rPr>
        <w:t>indicates</w:t>
      </w:r>
      <w:r>
        <w:rPr>
          <w:spacing w:val="-9"/>
          <w:sz w:val="24"/>
        </w:rPr>
        <w:t> </w:t>
      </w:r>
      <w:r>
        <w:rPr>
          <w:sz w:val="24"/>
        </w:rPr>
        <w:t>good</w:t>
      </w:r>
      <w:r>
        <w:rPr>
          <w:spacing w:val="-8"/>
          <w:sz w:val="24"/>
        </w:rPr>
        <w:t> </w:t>
      </w:r>
      <w:r>
        <w:rPr>
          <w:sz w:val="24"/>
        </w:rPr>
        <w:t>conduct</w:t>
      </w:r>
      <w:r>
        <w:rPr>
          <w:spacing w:val="-7"/>
          <w:sz w:val="24"/>
        </w:rPr>
        <w:t> </w:t>
      </w:r>
      <w:r>
        <w:rPr>
          <w:sz w:val="24"/>
        </w:rPr>
        <w:t>since</w:t>
      </w:r>
      <w:r>
        <w:rPr>
          <w:spacing w:val="-7"/>
          <w:sz w:val="24"/>
        </w:rPr>
        <w:t> </w:t>
      </w:r>
      <w:r>
        <w:rPr>
          <w:sz w:val="24"/>
        </w:rPr>
        <w:t>the</w:t>
      </w:r>
      <w:r>
        <w:rPr>
          <w:spacing w:val="-12"/>
          <w:sz w:val="24"/>
        </w:rPr>
        <w:t> </w:t>
      </w:r>
      <w:r>
        <w:rPr>
          <w:sz w:val="24"/>
        </w:rPr>
        <w:t>offense occurred;</w:t>
      </w:r>
    </w:p>
    <w:p>
      <w:pPr>
        <w:pStyle w:val="ListParagraph"/>
        <w:numPr>
          <w:ilvl w:val="1"/>
          <w:numId w:val="3"/>
        </w:numPr>
        <w:tabs>
          <w:tab w:pos="1180" w:val="left" w:leader="none"/>
          <w:tab w:pos="1181" w:val="left" w:leader="none"/>
        </w:tabs>
        <w:spacing w:line="240" w:lineRule="auto" w:before="0" w:after="0"/>
        <w:ind w:left="1180" w:right="511" w:hanging="361"/>
        <w:jc w:val="left"/>
        <w:rPr>
          <w:sz w:val="24"/>
        </w:rPr>
      </w:pPr>
      <w:r>
        <w:rPr>
          <w:sz w:val="24"/>
        </w:rPr>
        <w:t>whether</w:t>
      </w:r>
      <w:r>
        <w:rPr>
          <w:spacing w:val="-5"/>
          <w:sz w:val="24"/>
        </w:rPr>
        <w:t> </w:t>
      </w:r>
      <w:r>
        <w:rPr>
          <w:sz w:val="24"/>
        </w:rPr>
        <w:t>the</w:t>
      </w:r>
      <w:r>
        <w:rPr>
          <w:spacing w:val="-7"/>
          <w:sz w:val="24"/>
        </w:rPr>
        <w:t> </w:t>
      </w:r>
      <w:r>
        <w:rPr>
          <w:sz w:val="24"/>
        </w:rPr>
        <w:t>conduct/conviction</w:t>
      </w:r>
      <w:r>
        <w:rPr>
          <w:spacing w:val="-2"/>
          <w:sz w:val="24"/>
        </w:rPr>
        <w:t> </w:t>
      </w:r>
      <w:r>
        <w:rPr>
          <w:sz w:val="24"/>
        </w:rPr>
        <w:t>arose</w:t>
      </w:r>
      <w:r>
        <w:rPr>
          <w:spacing w:val="-7"/>
          <w:sz w:val="24"/>
        </w:rPr>
        <w:t> </w:t>
      </w:r>
      <w:r>
        <w:rPr>
          <w:sz w:val="24"/>
        </w:rPr>
        <w:t>from</w:t>
      </w:r>
      <w:r>
        <w:rPr>
          <w:spacing w:val="-8"/>
          <w:sz w:val="24"/>
        </w:rPr>
        <w:t> </w:t>
      </w:r>
      <w:r>
        <w:rPr>
          <w:sz w:val="24"/>
        </w:rPr>
        <w:t>the</w:t>
      </w:r>
      <w:r>
        <w:rPr>
          <w:spacing w:val="-6"/>
          <w:sz w:val="24"/>
        </w:rPr>
        <w:t> </w:t>
      </w:r>
      <w:r>
        <w:rPr>
          <w:sz w:val="24"/>
        </w:rPr>
        <w:t>applicant's</w:t>
      </w:r>
      <w:r>
        <w:rPr>
          <w:spacing w:val="-5"/>
          <w:sz w:val="24"/>
        </w:rPr>
        <w:t> </w:t>
      </w:r>
      <w:r>
        <w:rPr>
          <w:sz w:val="24"/>
        </w:rPr>
        <w:t>status</w:t>
      </w:r>
      <w:r>
        <w:rPr>
          <w:spacing w:val="-5"/>
          <w:sz w:val="24"/>
        </w:rPr>
        <w:t> </w:t>
      </w:r>
      <w:r>
        <w:rPr>
          <w:sz w:val="24"/>
        </w:rPr>
        <w:t>as</w:t>
      </w:r>
      <w:r>
        <w:rPr>
          <w:spacing w:val="-7"/>
          <w:sz w:val="24"/>
        </w:rPr>
        <w:t> </w:t>
      </w:r>
      <w:r>
        <w:rPr>
          <w:sz w:val="24"/>
        </w:rPr>
        <w:t>a</w:t>
      </w:r>
      <w:r>
        <w:rPr>
          <w:spacing w:val="-5"/>
          <w:sz w:val="24"/>
        </w:rPr>
        <w:t> </w:t>
      </w:r>
      <w:r>
        <w:rPr>
          <w:sz w:val="24"/>
        </w:rPr>
        <w:t>survivor</w:t>
      </w:r>
      <w:r>
        <w:rPr>
          <w:spacing w:val="-5"/>
          <w:sz w:val="24"/>
        </w:rPr>
        <w:t> </w:t>
      </w:r>
      <w:r>
        <w:rPr>
          <w:sz w:val="24"/>
        </w:rPr>
        <w:t>of</w:t>
      </w:r>
      <w:r>
        <w:rPr>
          <w:spacing w:val="-5"/>
          <w:sz w:val="24"/>
        </w:rPr>
        <w:t> </w:t>
      </w:r>
      <w:r>
        <w:rPr>
          <w:sz w:val="24"/>
        </w:rPr>
        <w:t>domestic violence, sexual assault, stalking, or dating</w:t>
      </w:r>
      <w:r>
        <w:rPr>
          <w:spacing w:val="-4"/>
          <w:sz w:val="24"/>
        </w:rPr>
        <w:t> </w:t>
      </w:r>
      <w:r>
        <w:rPr>
          <w:sz w:val="24"/>
        </w:rPr>
        <w:t>violence;</w:t>
      </w:r>
    </w:p>
    <w:p>
      <w:pPr>
        <w:pStyle w:val="ListParagraph"/>
        <w:numPr>
          <w:ilvl w:val="1"/>
          <w:numId w:val="3"/>
        </w:numPr>
        <w:tabs>
          <w:tab w:pos="1180" w:val="left" w:leader="none"/>
          <w:tab w:pos="1181" w:val="left" w:leader="none"/>
        </w:tabs>
        <w:spacing w:line="240" w:lineRule="auto" w:before="0" w:after="0"/>
        <w:ind w:left="1180" w:right="1052" w:hanging="361"/>
        <w:jc w:val="left"/>
        <w:rPr>
          <w:sz w:val="24"/>
        </w:rPr>
      </w:pPr>
      <w:r>
        <w:rPr>
          <w:sz w:val="24"/>
        </w:rPr>
        <w:t>whether</w:t>
      </w:r>
      <w:r>
        <w:rPr>
          <w:spacing w:val="-6"/>
          <w:sz w:val="24"/>
        </w:rPr>
        <w:t> </w:t>
      </w:r>
      <w:r>
        <w:rPr>
          <w:sz w:val="24"/>
        </w:rPr>
        <w:t>the</w:t>
      </w:r>
      <w:r>
        <w:rPr>
          <w:spacing w:val="-9"/>
          <w:sz w:val="24"/>
        </w:rPr>
        <w:t> </w:t>
      </w:r>
      <w:r>
        <w:rPr>
          <w:sz w:val="24"/>
        </w:rPr>
        <w:t>conduct/conviction</w:t>
      </w:r>
      <w:r>
        <w:rPr>
          <w:spacing w:val="-4"/>
          <w:sz w:val="24"/>
        </w:rPr>
        <w:t> </w:t>
      </w:r>
      <w:r>
        <w:rPr>
          <w:sz w:val="24"/>
        </w:rPr>
        <w:t>arose</w:t>
      </w:r>
      <w:r>
        <w:rPr>
          <w:spacing w:val="-8"/>
          <w:sz w:val="24"/>
        </w:rPr>
        <w:t> </w:t>
      </w:r>
      <w:r>
        <w:rPr>
          <w:sz w:val="24"/>
        </w:rPr>
        <w:t>from</w:t>
      </w:r>
      <w:r>
        <w:rPr>
          <w:spacing w:val="-8"/>
          <w:sz w:val="24"/>
        </w:rPr>
        <w:t> </w:t>
      </w:r>
      <w:r>
        <w:rPr>
          <w:sz w:val="24"/>
        </w:rPr>
        <w:t>an</w:t>
      </w:r>
      <w:r>
        <w:rPr>
          <w:spacing w:val="-5"/>
          <w:sz w:val="24"/>
        </w:rPr>
        <w:t> </w:t>
      </w:r>
      <w:r>
        <w:rPr>
          <w:sz w:val="24"/>
        </w:rPr>
        <w:t>applicant's</w:t>
      </w:r>
      <w:r>
        <w:rPr>
          <w:spacing w:val="-7"/>
          <w:sz w:val="24"/>
        </w:rPr>
        <w:t> </w:t>
      </w:r>
      <w:r>
        <w:rPr>
          <w:sz w:val="24"/>
        </w:rPr>
        <w:t>disability,</w:t>
      </w:r>
      <w:r>
        <w:rPr>
          <w:spacing w:val="-9"/>
          <w:sz w:val="24"/>
        </w:rPr>
        <w:t> </w:t>
      </w:r>
      <w:r>
        <w:rPr>
          <w:sz w:val="24"/>
        </w:rPr>
        <w:t>including</w:t>
      </w:r>
      <w:r>
        <w:rPr>
          <w:spacing w:val="-7"/>
          <w:sz w:val="24"/>
        </w:rPr>
        <w:t> </w:t>
      </w:r>
      <w:r>
        <w:rPr>
          <w:sz w:val="24"/>
        </w:rPr>
        <w:t>mental illness;</w:t>
      </w:r>
      <w:r>
        <w:rPr>
          <w:spacing w:val="-3"/>
          <w:sz w:val="24"/>
        </w:rPr>
        <w:t> </w:t>
      </w:r>
      <w:r>
        <w:rPr>
          <w:sz w:val="24"/>
        </w:rPr>
        <w:t>and</w:t>
      </w:r>
    </w:p>
    <w:p>
      <w:pPr>
        <w:pStyle w:val="ListParagraph"/>
        <w:numPr>
          <w:ilvl w:val="1"/>
          <w:numId w:val="3"/>
        </w:numPr>
        <w:tabs>
          <w:tab w:pos="1180" w:val="left" w:leader="none"/>
          <w:tab w:pos="1181" w:val="left" w:leader="none"/>
        </w:tabs>
        <w:spacing w:line="240" w:lineRule="auto" w:before="0" w:after="0"/>
        <w:ind w:left="1180" w:right="301" w:hanging="361"/>
        <w:jc w:val="left"/>
        <w:rPr>
          <w:sz w:val="24"/>
        </w:rPr>
      </w:pPr>
      <w:r>
        <w:rPr>
          <w:sz w:val="24"/>
        </w:rPr>
        <w:t>any other information related to whether the applicant’s specific criminal history creates the potential that the property’s current residents, employees, or property will be exposed to a heightened risk of</w:t>
      </w:r>
      <w:r>
        <w:rPr>
          <w:spacing w:val="-2"/>
          <w:sz w:val="24"/>
        </w:rPr>
        <w:t> </w:t>
      </w:r>
      <w:r>
        <w:rPr>
          <w:sz w:val="24"/>
        </w:rPr>
        <w:t>crime.</w:t>
      </w:r>
    </w:p>
    <w:p>
      <w:pPr>
        <w:spacing w:after="0" w:line="240" w:lineRule="auto"/>
        <w:jc w:val="left"/>
        <w:rPr>
          <w:sz w:val="24"/>
        </w:rPr>
        <w:sectPr>
          <w:pgSz w:w="12240" w:h="15840"/>
          <w:pgMar w:header="0" w:footer="1012" w:top="840" w:bottom="1240" w:left="380" w:right="1320"/>
        </w:sectPr>
      </w:pPr>
    </w:p>
    <w:p>
      <w:pPr>
        <w:pStyle w:val="BodyText"/>
        <w:spacing w:before="40"/>
        <w:ind w:right="209"/>
      </w:pPr>
      <w:r>
        <w:rPr/>
        <w:t>If an applicant does not provide information for the property’s consideration within fourteen (14) days of the date of Additional Information Request Letter, the property will assess the applicant based upon available information obtained during the application process, including the information received from the property’s credit and criminal background screening provider.</w:t>
      </w:r>
    </w:p>
    <w:p>
      <w:pPr>
        <w:pStyle w:val="BodyText"/>
        <w:spacing w:before="158"/>
        <w:ind w:right="283"/>
      </w:pPr>
      <w:r>
        <w:rPr/>
        <w:t>If, after the individual assessment described above, the property decides to reject an applicant, then on the day of such determination, the property will send to the applicant a Criminal Background Adverse Action Letter in the form attached hereto as Appendix C.</w:t>
      </w:r>
    </w:p>
    <w:p>
      <w:pPr>
        <w:pStyle w:val="Heading1"/>
        <w:spacing w:before="160"/>
      </w:pPr>
      <w:r>
        <w:rPr/>
        <w:t>Disclosure</w:t>
      </w:r>
    </w:p>
    <w:p>
      <w:pPr>
        <w:pStyle w:val="BodyText"/>
        <w:spacing w:before="161"/>
        <w:ind w:right="209"/>
      </w:pPr>
      <w:r>
        <w:rPr/>
        <w:t>The property will disclose its three-step screening process to all applicants prior to the submission of an application.</w:t>
      </w:r>
    </w:p>
    <w:sectPr>
      <w:pgSz w:w="12240" w:h="15840"/>
      <w:pgMar w:header="0" w:footer="1012" w:top="720" w:bottom="1240" w:left="3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0.049988pt;margin-top:728.322632pt;width:12pt;height:15.3pt;mso-position-horizontal-relative:page;mso-position-vertical-relative:page;z-index:-25174630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decimal"/>
      <w:lvlText w:val="(%1)"/>
      <w:lvlJc w:val="left"/>
      <w:pPr>
        <w:ind w:left="460" w:hanging="444"/>
        <w:jc w:val="left"/>
      </w:pPr>
      <w:rPr>
        <w:rFonts w:hint="default" w:ascii="Calibri" w:hAnsi="Calibri" w:eastAsia="Calibri" w:cs="Calibri"/>
        <w:spacing w:val="-1"/>
        <w:w w:val="100"/>
        <w:sz w:val="24"/>
        <w:szCs w:val="24"/>
        <w:lang w:val="en-us" w:eastAsia="en-us" w:bidi="en-us"/>
      </w:rPr>
    </w:lvl>
    <w:lvl w:ilvl="1">
      <w:start w:val="0"/>
      <w:numFmt w:val="bullet"/>
      <w:lvlText w:val=""/>
      <w:lvlJc w:val="left"/>
      <w:pPr>
        <w:ind w:left="1180" w:hanging="361"/>
      </w:pPr>
      <w:rPr>
        <w:rFonts w:hint="default" w:ascii="Symbol" w:hAnsi="Symbol" w:eastAsia="Symbol" w:cs="Symbol"/>
        <w:w w:val="100"/>
        <w:sz w:val="24"/>
        <w:szCs w:val="24"/>
        <w:lang w:val="en-us" w:eastAsia="en-us" w:bidi="en-us"/>
      </w:rPr>
    </w:lvl>
    <w:lvl w:ilvl="2">
      <w:start w:val="0"/>
      <w:numFmt w:val="bullet"/>
      <w:lvlText w:val="•"/>
      <w:lvlJc w:val="left"/>
      <w:pPr>
        <w:ind w:left="2220" w:hanging="361"/>
      </w:pPr>
      <w:rPr>
        <w:rFonts w:hint="default"/>
        <w:lang w:val="en-us" w:eastAsia="en-us" w:bidi="en-us"/>
      </w:rPr>
    </w:lvl>
    <w:lvl w:ilvl="3">
      <w:start w:val="0"/>
      <w:numFmt w:val="bullet"/>
      <w:lvlText w:val="•"/>
      <w:lvlJc w:val="left"/>
      <w:pPr>
        <w:ind w:left="3260" w:hanging="361"/>
      </w:pPr>
      <w:rPr>
        <w:rFonts w:hint="default"/>
        <w:lang w:val="en-us" w:eastAsia="en-us" w:bidi="en-us"/>
      </w:rPr>
    </w:lvl>
    <w:lvl w:ilvl="4">
      <w:start w:val="0"/>
      <w:numFmt w:val="bullet"/>
      <w:lvlText w:val="•"/>
      <w:lvlJc w:val="left"/>
      <w:pPr>
        <w:ind w:left="4300" w:hanging="361"/>
      </w:pPr>
      <w:rPr>
        <w:rFonts w:hint="default"/>
        <w:lang w:val="en-us" w:eastAsia="en-us" w:bidi="en-us"/>
      </w:rPr>
    </w:lvl>
    <w:lvl w:ilvl="5">
      <w:start w:val="0"/>
      <w:numFmt w:val="bullet"/>
      <w:lvlText w:val="•"/>
      <w:lvlJc w:val="left"/>
      <w:pPr>
        <w:ind w:left="5340" w:hanging="361"/>
      </w:pPr>
      <w:rPr>
        <w:rFonts w:hint="default"/>
        <w:lang w:val="en-us" w:eastAsia="en-us" w:bidi="en-us"/>
      </w:rPr>
    </w:lvl>
    <w:lvl w:ilvl="6">
      <w:start w:val="0"/>
      <w:numFmt w:val="bullet"/>
      <w:lvlText w:val="•"/>
      <w:lvlJc w:val="left"/>
      <w:pPr>
        <w:ind w:left="6380" w:hanging="361"/>
      </w:pPr>
      <w:rPr>
        <w:rFonts w:hint="default"/>
        <w:lang w:val="en-us" w:eastAsia="en-us" w:bidi="en-us"/>
      </w:rPr>
    </w:lvl>
    <w:lvl w:ilvl="7">
      <w:start w:val="0"/>
      <w:numFmt w:val="bullet"/>
      <w:lvlText w:val="•"/>
      <w:lvlJc w:val="left"/>
      <w:pPr>
        <w:ind w:left="7420" w:hanging="361"/>
      </w:pPr>
      <w:rPr>
        <w:rFonts w:hint="default"/>
        <w:lang w:val="en-us" w:eastAsia="en-us" w:bidi="en-us"/>
      </w:rPr>
    </w:lvl>
    <w:lvl w:ilvl="8">
      <w:start w:val="0"/>
      <w:numFmt w:val="bullet"/>
      <w:lvlText w:val="•"/>
      <w:lvlJc w:val="left"/>
      <w:pPr>
        <w:ind w:left="8460" w:hanging="361"/>
      </w:pPr>
      <w:rPr>
        <w:rFonts w:hint="default"/>
        <w:lang w:val="en-us" w:eastAsia="en-us" w:bidi="en-us"/>
      </w:rPr>
    </w:lvl>
  </w:abstractNum>
  <w:abstractNum w:abstractNumId="1">
    <w:multiLevelType w:val="hybridMultilevel"/>
    <w:lvl w:ilvl="0">
      <w:start w:val="0"/>
      <w:numFmt w:val="bullet"/>
      <w:lvlText w:val=""/>
      <w:lvlJc w:val="left"/>
      <w:pPr>
        <w:ind w:left="1180" w:hanging="361"/>
      </w:pPr>
      <w:rPr>
        <w:rFonts w:hint="default" w:ascii="Symbol" w:hAnsi="Symbol" w:eastAsia="Symbol" w:cs="Symbol"/>
        <w:w w:val="100"/>
        <w:sz w:val="24"/>
        <w:szCs w:val="24"/>
        <w:lang w:val="en-us" w:eastAsia="en-us" w:bidi="en-us"/>
      </w:rPr>
    </w:lvl>
    <w:lvl w:ilvl="1">
      <w:start w:val="0"/>
      <w:numFmt w:val="bullet"/>
      <w:lvlText w:val="•"/>
      <w:lvlJc w:val="left"/>
      <w:pPr>
        <w:ind w:left="2116" w:hanging="361"/>
      </w:pPr>
      <w:rPr>
        <w:rFonts w:hint="default"/>
        <w:lang w:val="en-us" w:eastAsia="en-us" w:bidi="en-us"/>
      </w:rPr>
    </w:lvl>
    <w:lvl w:ilvl="2">
      <w:start w:val="0"/>
      <w:numFmt w:val="bullet"/>
      <w:lvlText w:val="•"/>
      <w:lvlJc w:val="left"/>
      <w:pPr>
        <w:ind w:left="3052" w:hanging="361"/>
      </w:pPr>
      <w:rPr>
        <w:rFonts w:hint="default"/>
        <w:lang w:val="en-us" w:eastAsia="en-us" w:bidi="en-us"/>
      </w:rPr>
    </w:lvl>
    <w:lvl w:ilvl="3">
      <w:start w:val="0"/>
      <w:numFmt w:val="bullet"/>
      <w:lvlText w:val="•"/>
      <w:lvlJc w:val="left"/>
      <w:pPr>
        <w:ind w:left="3988" w:hanging="361"/>
      </w:pPr>
      <w:rPr>
        <w:rFonts w:hint="default"/>
        <w:lang w:val="en-us" w:eastAsia="en-us" w:bidi="en-us"/>
      </w:rPr>
    </w:lvl>
    <w:lvl w:ilvl="4">
      <w:start w:val="0"/>
      <w:numFmt w:val="bullet"/>
      <w:lvlText w:val="•"/>
      <w:lvlJc w:val="left"/>
      <w:pPr>
        <w:ind w:left="4924" w:hanging="361"/>
      </w:pPr>
      <w:rPr>
        <w:rFonts w:hint="default"/>
        <w:lang w:val="en-us" w:eastAsia="en-us" w:bidi="en-us"/>
      </w:rPr>
    </w:lvl>
    <w:lvl w:ilvl="5">
      <w:start w:val="0"/>
      <w:numFmt w:val="bullet"/>
      <w:lvlText w:val="•"/>
      <w:lvlJc w:val="left"/>
      <w:pPr>
        <w:ind w:left="5860" w:hanging="361"/>
      </w:pPr>
      <w:rPr>
        <w:rFonts w:hint="default"/>
        <w:lang w:val="en-us" w:eastAsia="en-us" w:bidi="en-us"/>
      </w:rPr>
    </w:lvl>
    <w:lvl w:ilvl="6">
      <w:start w:val="0"/>
      <w:numFmt w:val="bullet"/>
      <w:lvlText w:val="•"/>
      <w:lvlJc w:val="left"/>
      <w:pPr>
        <w:ind w:left="679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68" w:hanging="361"/>
      </w:pPr>
      <w:rPr>
        <w:rFonts w:hint="default"/>
        <w:lang w:val="en-us" w:eastAsia="en-us" w:bidi="en-us"/>
      </w:rPr>
    </w:lvl>
  </w:abstractNum>
  <w:abstractNum w:abstractNumId="0">
    <w:multiLevelType w:val="hybridMultilevel"/>
    <w:lvl w:ilvl="0">
      <w:start w:val="1"/>
      <w:numFmt w:val="decimal"/>
      <w:lvlText w:val="%1)"/>
      <w:lvlJc w:val="left"/>
      <w:pPr>
        <w:ind w:left="1180" w:hanging="361"/>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2116" w:hanging="361"/>
      </w:pPr>
      <w:rPr>
        <w:rFonts w:hint="default"/>
        <w:lang w:val="en-us" w:eastAsia="en-us" w:bidi="en-us"/>
      </w:rPr>
    </w:lvl>
    <w:lvl w:ilvl="2">
      <w:start w:val="0"/>
      <w:numFmt w:val="bullet"/>
      <w:lvlText w:val="•"/>
      <w:lvlJc w:val="left"/>
      <w:pPr>
        <w:ind w:left="3052" w:hanging="361"/>
      </w:pPr>
      <w:rPr>
        <w:rFonts w:hint="default"/>
        <w:lang w:val="en-us" w:eastAsia="en-us" w:bidi="en-us"/>
      </w:rPr>
    </w:lvl>
    <w:lvl w:ilvl="3">
      <w:start w:val="0"/>
      <w:numFmt w:val="bullet"/>
      <w:lvlText w:val="•"/>
      <w:lvlJc w:val="left"/>
      <w:pPr>
        <w:ind w:left="3988" w:hanging="361"/>
      </w:pPr>
      <w:rPr>
        <w:rFonts w:hint="default"/>
        <w:lang w:val="en-us" w:eastAsia="en-us" w:bidi="en-us"/>
      </w:rPr>
    </w:lvl>
    <w:lvl w:ilvl="4">
      <w:start w:val="0"/>
      <w:numFmt w:val="bullet"/>
      <w:lvlText w:val="•"/>
      <w:lvlJc w:val="left"/>
      <w:pPr>
        <w:ind w:left="4924" w:hanging="361"/>
      </w:pPr>
      <w:rPr>
        <w:rFonts w:hint="default"/>
        <w:lang w:val="en-us" w:eastAsia="en-us" w:bidi="en-us"/>
      </w:rPr>
    </w:lvl>
    <w:lvl w:ilvl="5">
      <w:start w:val="0"/>
      <w:numFmt w:val="bullet"/>
      <w:lvlText w:val="•"/>
      <w:lvlJc w:val="left"/>
      <w:pPr>
        <w:ind w:left="5860" w:hanging="361"/>
      </w:pPr>
      <w:rPr>
        <w:rFonts w:hint="default"/>
        <w:lang w:val="en-us" w:eastAsia="en-us" w:bidi="en-us"/>
      </w:rPr>
    </w:lvl>
    <w:lvl w:ilvl="6">
      <w:start w:val="0"/>
      <w:numFmt w:val="bullet"/>
      <w:lvlText w:val="•"/>
      <w:lvlJc w:val="left"/>
      <w:pPr>
        <w:ind w:left="6796" w:hanging="361"/>
      </w:pPr>
      <w:rPr>
        <w:rFonts w:hint="default"/>
        <w:lang w:val="en-us" w:eastAsia="en-us" w:bidi="en-us"/>
      </w:rPr>
    </w:lvl>
    <w:lvl w:ilvl="7">
      <w:start w:val="0"/>
      <w:numFmt w:val="bullet"/>
      <w:lvlText w:val="•"/>
      <w:lvlJc w:val="left"/>
      <w:pPr>
        <w:ind w:left="7732" w:hanging="361"/>
      </w:pPr>
      <w:rPr>
        <w:rFonts w:hint="default"/>
        <w:lang w:val="en-us" w:eastAsia="en-us" w:bidi="en-us"/>
      </w:rPr>
    </w:lvl>
    <w:lvl w:ilvl="8">
      <w:start w:val="0"/>
      <w:numFmt w:val="bullet"/>
      <w:lvlText w:val="•"/>
      <w:lvlJc w:val="left"/>
      <w:pPr>
        <w:ind w:left="8668" w:hanging="36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460"/>
    </w:pPr>
    <w:rPr>
      <w:rFonts w:ascii="Calibri" w:hAnsi="Calibri" w:eastAsia="Calibri" w:cs="Calibri"/>
      <w:sz w:val="24"/>
      <w:szCs w:val="24"/>
      <w:lang w:val="en-us" w:eastAsia="en-us" w:bidi="en-us"/>
    </w:rPr>
  </w:style>
  <w:style w:styleId="Heading1" w:type="paragraph">
    <w:name w:val="Heading 1"/>
    <w:basedOn w:val="Normal"/>
    <w:uiPriority w:val="1"/>
    <w:qFormat/>
    <w:pPr>
      <w:spacing w:before="31"/>
      <w:ind w:left="460"/>
      <w:outlineLvl w:val="1"/>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18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OMay</dc:creator>
  <dc:title>Microsoft Word - 2019.08.05 - Criminal Background Policy</dc:title>
  <dcterms:created xsi:type="dcterms:W3CDTF">2020-03-25T15:19:24Z</dcterms:created>
  <dcterms:modified xsi:type="dcterms:W3CDTF">2020-03-25T15:19:24Z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2020-03-25T00:00:00Z</vt:filetime>
  </property>
</Properties>
</file>